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F7A3D"/>
          <w:sz w:val="40"/>
          <w:szCs w:val="40"/>
        </w:rPr>
        <w:t xml:space="preserve">TOSSIT</w:t>
      </w:r>
    </w:p>
    <w:p>
      <w:pPr>
        <w:spacing w:after="60"/>
      </w:pPr>
      <w:r>
        <w:rPr>
          <w:rFonts w:ascii="Calibri" w:cs="Calibri" w:eastAsia="Calibri" w:hAnsi="Calibri"/>
          <w:b/>
          <w:bCs/>
          <w:color w:val="1A1A1A"/>
          <w:sz w:val="26"/>
          <w:szCs w:val="26"/>
        </w:rPr>
        <w:t xml:space="preserve">LEAD REFERRAL &amp; SERVICES AGREEMENT</w:t>
      </w:r>
    </w:p>
    <w:p>
      <w:pPr>
        <w:pBdr>
          <w:bottom w:val="single" w:color="1F7A3D" w:sz="12" w:space="4"/>
        </w:pBdr>
        <w:spacing w:after="200"/>
      </w:pPr>
      <w:r>
        <w:rPr>
          <w:rFonts w:ascii="Calibri" w:cs="Calibri" w:eastAsia="Calibri" w:hAnsi="Calibri"/>
          <w:i/>
          <w:iCs/>
          <w:color w:val="555555"/>
          <w:sz w:val="20"/>
          <w:szCs w:val="20"/>
        </w:rPr>
        <w:t xml:space="preserve">A service of Schaffer Energy Consultants</w:t>
      </w:r>
    </w:p>
    <w:p>
      <w:pPr>
        <w:spacing w:after="140" w:line="276"/>
        <w:jc w:val="both"/>
      </w:pPr>
      <w:r>
        <w:rPr>
          <w:rFonts w:ascii="Calibri" w:cs="Calibri" w:eastAsia="Calibri" w:hAnsi="Calibri"/>
          <w:color w:val="1A1A1A"/>
          <w:sz w:val="21"/>
          <w:szCs w:val="21"/>
        </w:rPr>
        <w:t xml:space="preserve">This Lead Referral &amp; Services Agreement (the “</w:t>
      </w:r>
      <w:r>
        <w:rPr>
          <w:rFonts w:ascii="Calibri" w:cs="Calibri" w:eastAsia="Calibri" w:hAnsi="Calibri"/>
          <w:b/>
          <w:bCs/>
          <w:color w:val="1A1A1A"/>
          <w:sz w:val="21"/>
          <w:szCs w:val="21"/>
        </w:rPr>
        <w:t xml:space="preserve">Agreement</w:t>
      </w:r>
      <w:r>
        <w:rPr>
          <w:rFonts w:ascii="Calibri" w:cs="Calibri" w:eastAsia="Calibri" w:hAnsi="Calibri"/>
          <w:color w:val="1A1A1A"/>
          <w:sz w:val="21"/>
          <w:szCs w:val="21"/>
        </w:rPr>
        <w:t xml:space="preserve">”) is entered into as of </w:t>
      </w:r>
      <w:r>
        <w:rPr>
          <w:rFonts w:ascii="Calibri" w:cs="Calibri" w:eastAsia="Calibri" w:hAnsi="Calibri"/>
          <w:b/>
          <w:bCs/>
          <w:color w:val="1A1A1A"/>
          <w:sz w:val="21"/>
          <w:szCs w:val="21"/>
        </w:rPr>
        <w:t xml:space="preserve">____________________</w:t>
      </w:r>
      <w:r>
        <w:rPr>
          <w:rFonts w:ascii="Calibri" w:cs="Calibri" w:eastAsia="Calibri" w:hAnsi="Calibri"/>
          <w:color w:val="1A1A1A"/>
          <w:sz w:val="21"/>
          <w:szCs w:val="21"/>
        </w:rPr>
        <w:t xml:space="preserve"> (the “</w:t>
      </w:r>
      <w:r>
        <w:rPr>
          <w:rFonts w:ascii="Calibri" w:cs="Calibri" w:eastAsia="Calibri" w:hAnsi="Calibri"/>
          <w:b/>
          <w:bCs/>
          <w:color w:val="1A1A1A"/>
          <w:sz w:val="21"/>
          <w:szCs w:val="21"/>
        </w:rPr>
        <w:t xml:space="preserve">Effective Date</w:t>
      </w:r>
      <w:r>
        <w:rPr>
          <w:rFonts w:ascii="Calibri" w:cs="Calibri" w:eastAsia="Calibri" w:hAnsi="Calibri"/>
          <w:color w:val="1A1A1A"/>
          <w:sz w:val="21"/>
          <w:szCs w:val="21"/>
        </w:rPr>
        <w:t xml:space="preserve">”) by and between </w:t>
      </w:r>
      <w:r>
        <w:rPr>
          <w:rFonts w:ascii="Calibri" w:cs="Calibri" w:eastAsia="Calibri" w:hAnsi="Calibri"/>
          <w:b/>
          <w:bCs/>
          <w:color w:val="1A1A1A"/>
          <w:sz w:val="21"/>
          <w:szCs w:val="21"/>
        </w:rPr>
        <w:t xml:space="preserve">Schaffer Energy Consultants</w:t>
      </w:r>
      <w:r>
        <w:rPr>
          <w:rFonts w:ascii="Calibri" w:cs="Calibri" w:eastAsia="Calibri" w:hAnsi="Calibri"/>
          <w:color w:val="1A1A1A"/>
          <w:sz w:val="21"/>
          <w:szCs w:val="21"/>
        </w:rPr>
        <w:t xml:space="preserve">, doing business as Tossit (“</w:t>
      </w:r>
      <w:r>
        <w:rPr>
          <w:rFonts w:ascii="Calibri" w:cs="Calibri" w:eastAsia="Calibri" w:hAnsi="Calibri"/>
          <w:b/>
          <w:bCs/>
          <w:color w:val="1A1A1A"/>
          <w:sz w:val="21"/>
          <w:szCs w:val="21"/>
        </w:rPr>
        <w:t xml:space="preserve">Tossit</w:t>
      </w:r>
      <w:r>
        <w:rPr>
          <w:rFonts w:ascii="Calibri" w:cs="Calibri" w:eastAsia="Calibri" w:hAnsi="Calibri"/>
          <w:color w:val="1A1A1A"/>
          <w:sz w:val="21"/>
          <w:szCs w:val="21"/>
        </w:rPr>
        <w:t xml:space="preserve">,” “</w:t>
      </w:r>
      <w:r>
        <w:rPr>
          <w:rFonts w:ascii="Calibri" w:cs="Calibri" w:eastAsia="Calibri" w:hAnsi="Calibri"/>
          <w:b/>
          <w:bCs/>
          <w:color w:val="1A1A1A"/>
          <w:sz w:val="21"/>
          <w:szCs w:val="21"/>
        </w:rPr>
        <w:t xml:space="preserve">we</w:t>
      </w:r>
      <w:r>
        <w:rPr>
          <w:rFonts w:ascii="Calibri" w:cs="Calibri" w:eastAsia="Calibri" w:hAnsi="Calibri"/>
          <w:color w:val="1A1A1A"/>
          <w:sz w:val="21"/>
          <w:szCs w:val="21"/>
        </w:rPr>
        <w:t xml:space="preserve">,” or “</w:t>
      </w:r>
      <w:r>
        <w:rPr>
          <w:rFonts w:ascii="Calibri" w:cs="Calibri" w:eastAsia="Calibri" w:hAnsi="Calibri"/>
          <w:b/>
          <w:bCs/>
          <w:color w:val="1A1A1A"/>
          <w:sz w:val="21"/>
          <w:szCs w:val="21"/>
        </w:rPr>
        <w:t xml:space="preserve">Provider</w:t>
      </w:r>
      <w:r>
        <w:rPr>
          <w:rFonts w:ascii="Calibri" w:cs="Calibri" w:eastAsia="Calibri" w:hAnsi="Calibri"/>
          <w:color w:val="1A1A1A"/>
          <w:sz w:val="21"/>
          <w:szCs w:val="21"/>
        </w:rPr>
        <w:t xml:space="preserve">”), and </w:t>
      </w:r>
      <w:r>
        <w:rPr>
          <w:rFonts w:ascii="Calibri" w:cs="Calibri" w:eastAsia="Calibri" w:hAnsi="Calibri"/>
          <w:b/>
          <w:bCs/>
          <w:color w:val="1A1A1A"/>
          <w:sz w:val="21"/>
          <w:szCs w:val="21"/>
        </w:rPr>
        <w:t xml:space="preserve">____________________________________</w:t>
      </w:r>
      <w:r>
        <w:rPr>
          <w:rFonts w:ascii="Calibri" w:cs="Calibri" w:eastAsia="Calibri" w:hAnsi="Calibri"/>
          <w:color w:val="1A1A1A"/>
          <w:sz w:val="21"/>
          <w:szCs w:val="21"/>
        </w:rPr>
        <w:t xml:space="preserve"> (“</w:t>
      </w:r>
      <w:r>
        <w:rPr>
          <w:rFonts w:ascii="Calibri" w:cs="Calibri" w:eastAsia="Calibri" w:hAnsi="Calibri"/>
          <w:b/>
          <w:bCs/>
          <w:color w:val="1A1A1A"/>
          <w:sz w:val="21"/>
          <w:szCs w:val="21"/>
        </w:rPr>
        <w:t xml:space="preserve">Partner</w:t>
      </w:r>
      <w:r>
        <w:rPr>
          <w:rFonts w:ascii="Calibri" w:cs="Calibri" w:eastAsia="Calibri" w:hAnsi="Calibri"/>
          <w:color w:val="1A1A1A"/>
          <w:sz w:val="21"/>
          <w:szCs w:val="21"/>
        </w:rPr>
        <w:t xml:space="preserve">,” “</w:t>
      </w:r>
      <w:r>
        <w:rPr>
          <w:rFonts w:ascii="Calibri" w:cs="Calibri" w:eastAsia="Calibri" w:hAnsi="Calibri"/>
          <w:b/>
          <w:bCs/>
          <w:color w:val="1A1A1A"/>
          <w:sz w:val="21"/>
          <w:szCs w:val="21"/>
        </w:rPr>
        <w:t xml:space="preserve">you</w:t>
      </w:r>
      <w:r>
        <w:rPr>
          <w:rFonts w:ascii="Calibri" w:cs="Calibri" w:eastAsia="Calibri" w:hAnsi="Calibri"/>
          <w:color w:val="1A1A1A"/>
          <w:sz w:val="21"/>
          <w:szCs w:val="21"/>
        </w:rPr>
        <w:t xml:space="preserve">”). Provider and Partner are each a “Party” and together the “Parties.”</w:t>
      </w:r>
    </w:p>
    <w:p>
      <w:pPr>
        <w:pStyle w:val="Heading1"/>
        <w:spacing w:after="120" w:before="300"/>
      </w:pPr>
      <w:r>
        <w:rPr>
          <w:rFonts w:ascii="Calibri" w:cs="Calibri" w:eastAsia="Calibri" w:hAnsi="Calibri"/>
          <w:b/>
          <w:bCs/>
          <w:color w:val="1F7A3D"/>
          <w:sz w:val="24"/>
          <w:szCs w:val="24"/>
        </w:rPr>
        <w:t xml:space="preserve">1.  Definitions</w:t>
      </w:r>
    </w:p>
    <w:p>
      <w:pPr>
        <w:spacing w:after="120" w:line="276"/>
        <w:jc w:val="both"/>
      </w:pPr>
      <w:r>
        <w:rPr>
          <w:rFonts w:ascii="Calibri" w:cs="Calibri" w:eastAsia="Calibri" w:hAnsi="Calibri"/>
          <w:b/>
          <w:bCs/>
          <w:color w:val="1A1A1A"/>
          <w:sz w:val="21"/>
          <w:szCs w:val="21"/>
        </w:rPr>
        <w:t xml:space="preserve">1.1  </w:t>
      </w:r>
      <w:r>
        <w:rPr>
          <w:rFonts w:ascii="Calibri" w:cs="Calibri" w:eastAsia="Calibri" w:hAnsi="Calibri"/>
          <w:b/>
          <w:bCs/>
          <w:color w:val="1A1A1A"/>
          <w:sz w:val="21"/>
          <w:szCs w:val="21"/>
        </w:rPr>
        <w:t xml:space="preserve">Lead. </w:t>
      </w:r>
      <w:r>
        <w:rPr>
          <w:rFonts w:ascii="Calibri" w:cs="Calibri" w:eastAsia="Calibri" w:hAnsi="Calibri"/>
          <w:color w:val="1A1A1A"/>
          <w:sz w:val="21"/>
          <w:szCs w:val="21"/>
        </w:rPr>
        <w:t xml:space="preserve">A prospective customer inquiry generated through the Tossit platform that includes each of the following: (a) the customer’s affirmative opt-in to be contacted by a junk-removal provider; (b) a valid name and at least one valid contact method (phone and/or email); (c) one or more customer-submitted photographs of the items to be removed; and (d) an AI-generated preliminary quote estimate. A Lead is deemed “</w:t>
      </w:r>
      <w:r>
        <w:rPr>
          <w:rFonts w:ascii="Calibri" w:cs="Calibri" w:eastAsia="Calibri" w:hAnsi="Calibri"/>
          <w:b/>
          <w:bCs/>
          <w:color w:val="1A1A1A"/>
          <w:sz w:val="21"/>
          <w:szCs w:val="21"/>
        </w:rPr>
        <w:t xml:space="preserve">Delivered</w:t>
      </w:r>
      <w:r>
        <w:rPr>
          <w:rFonts w:ascii="Calibri" w:cs="Calibri" w:eastAsia="Calibri" w:hAnsi="Calibri"/>
          <w:color w:val="1A1A1A"/>
          <w:sz w:val="21"/>
          <w:szCs w:val="21"/>
        </w:rPr>
        <w:t xml:space="preserve">” at the moment Provider transmits the foregoing to Partner by any agreed method (dashboard, email, SMS, or API).</w:t>
      </w:r>
    </w:p>
    <w:p>
      <w:pPr>
        <w:spacing w:after="120" w:line="276"/>
        <w:jc w:val="both"/>
      </w:pPr>
      <w:r>
        <w:rPr>
          <w:rFonts w:ascii="Calibri" w:cs="Calibri" w:eastAsia="Calibri" w:hAnsi="Calibri"/>
          <w:b/>
          <w:bCs/>
          <w:color w:val="1A1A1A"/>
          <w:sz w:val="21"/>
          <w:szCs w:val="21"/>
        </w:rPr>
        <w:t xml:space="preserve">1.2  </w:t>
      </w:r>
      <w:r>
        <w:rPr>
          <w:rFonts w:ascii="Calibri" w:cs="Calibri" w:eastAsia="Calibri" w:hAnsi="Calibri"/>
          <w:b/>
          <w:bCs/>
          <w:color w:val="1A1A1A"/>
          <w:sz w:val="21"/>
          <w:szCs w:val="21"/>
        </w:rPr>
        <w:t xml:space="preserve">AI Quote. </w:t>
      </w:r>
      <w:r>
        <w:rPr>
          <w:rFonts w:ascii="Calibri" w:cs="Calibri" w:eastAsia="Calibri" w:hAnsi="Calibri"/>
          <w:color w:val="1A1A1A"/>
          <w:sz w:val="21"/>
          <w:szCs w:val="21"/>
        </w:rPr>
        <w:t xml:space="preserve">The preliminary, non-binding price estimate produced by Tossit’s automated vision and estimation pipeline, expressed to an approximate confidence level. The AI Quote is an estimate only and is not an offer, guarantee, or final price.</w:t>
      </w:r>
    </w:p>
    <w:p>
      <w:pPr>
        <w:spacing w:after="120" w:line="276"/>
        <w:jc w:val="both"/>
      </w:pPr>
      <w:r>
        <w:rPr>
          <w:rFonts w:ascii="Calibri" w:cs="Calibri" w:eastAsia="Calibri" w:hAnsi="Calibri"/>
          <w:b/>
          <w:bCs/>
          <w:color w:val="1A1A1A"/>
          <w:sz w:val="21"/>
          <w:szCs w:val="21"/>
        </w:rPr>
        <w:t xml:space="preserve">1.3  </w:t>
      </w:r>
      <w:r>
        <w:rPr>
          <w:rFonts w:ascii="Calibri" w:cs="Calibri" w:eastAsia="Calibri" w:hAnsi="Calibri"/>
          <w:b/>
          <w:bCs/>
          <w:color w:val="1A1A1A"/>
          <w:sz w:val="21"/>
          <w:szCs w:val="21"/>
        </w:rPr>
        <w:t xml:space="preserve">Exclusive. </w:t>
      </w:r>
      <w:r>
        <w:rPr>
          <w:rFonts w:ascii="Calibri" w:cs="Calibri" w:eastAsia="Calibri" w:hAnsi="Calibri"/>
          <w:color w:val="1A1A1A"/>
          <w:sz w:val="21"/>
          <w:szCs w:val="21"/>
        </w:rPr>
        <w:t xml:space="preserve">Each Lead is delivered to one, and only one, Partner. Provider will not deliver the same Lead to any other junk-removal provider.</w:t>
      </w:r>
    </w:p>
    <w:p>
      <w:pPr>
        <w:pStyle w:val="Heading1"/>
        <w:spacing w:after="120" w:before="300"/>
      </w:pPr>
      <w:r>
        <w:rPr>
          <w:rFonts w:ascii="Calibri" w:cs="Calibri" w:eastAsia="Calibri" w:hAnsi="Calibri"/>
          <w:b/>
          <w:bCs/>
          <w:color w:val="1F7A3D"/>
          <w:sz w:val="24"/>
          <w:szCs w:val="24"/>
        </w:rPr>
        <w:t xml:space="preserve">2.  Services &amp; Exclusivity</w:t>
      </w:r>
    </w:p>
    <w:p>
      <w:pPr>
        <w:spacing w:after="120" w:line="276"/>
        <w:jc w:val="both"/>
      </w:pPr>
      <w:r>
        <w:rPr>
          <w:rFonts w:ascii="Calibri" w:cs="Calibri" w:eastAsia="Calibri" w:hAnsi="Calibri"/>
          <w:b/>
          <w:bCs/>
          <w:color w:val="1A1A1A"/>
          <w:sz w:val="21"/>
          <w:szCs w:val="21"/>
        </w:rPr>
        <w:t xml:space="preserve">2.1  </w:t>
      </w:r>
      <w:r>
        <w:rPr>
          <w:rFonts w:ascii="Calibri" w:cs="Calibri" w:eastAsia="Calibri" w:hAnsi="Calibri"/>
          <w:b/>
          <w:bCs/>
          <w:color w:val="1A1A1A"/>
          <w:sz w:val="21"/>
          <w:szCs w:val="21"/>
        </w:rPr>
        <w:t xml:space="preserve">Lead Delivery. </w:t>
      </w:r>
      <w:r>
        <w:rPr>
          <w:rFonts w:ascii="Calibri" w:cs="Calibri" w:eastAsia="Calibri" w:hAnsi="Calibri"/>
          <w:color w:val="1A1A1A"/>
          <w:sz w:val="21"/>
          <w:szCs w:val="21"/>
        </w:rPr>
        <w:t xml:space="preserve">During the Term, Provider will use commercially reasonable efforts to deliver Leads to Partner within Partner’s designated service area(s). Provider makes no commitment as to the number, frequency, quality, or value of Leads, and no minimum volume is promised.</w:t>
      </w:r>
    </w:p>
    <w:p>
      <w:pPr>
        <w:spacing w:after="120" w:line="276"/>
        <w:jc w:val="both"/>
      </w:pPr>
      <w:r>
        <w:rPr>
          <w:rFonts w:ascii="Calibri" w:cs="Calibri" w:eastAsia="Calibri" w:hAnsi="Calibri"/>
          <w:b/>
          <w:bCs/>
          <w:color w:val="1A1A1A"/>
          <w:sz w:val="21"/>
          <w:szCs w:val="21"/>
        </w:rPr>
        <w:t xml:space="preserve">2.2  </w:t>
      </w:r>
      <w:r>
        <w:rPr>
          <w:rFonts w:ascii="Calibri" w:cs="Calibri" w:eastAsia="Calibri" w:hAnsi="Calibri"/>
          <w:b/>
          <w:bCs/>
          <w:color w:val="1A1A1A"/>
          <w:sz w:val="21"/>
          <w:szCs w:val="21"/>
        </w:rPr>
        <w:t xml:space="preserve">Exclusivity. </w:t>
      </w:r>
      <w:r>
        <w:rPr>
          <w:rFonts w:ascii="Calibri" w:cs="Calibri" w:eastAsia="Calibri" w:hAnsi="Calibri"/>
          <w:color w:val="1A1A1A"/>
          <w:sz w:val="21"/>
          <w:szCs w:val="21"/>
        </w:rPr>
        <w:t xml:space="preserve">Leads are delivered on an Exclusive basis as defined in Section 1.3. Exclusivity applies to the Lead as delivered and does not restrict Provider from generating or delivering other Leads (including for the same customer at a later date or for a different job) to Partner or to others.</w:t>
      </w:r>
    </w:p>
    <w:p>
      <w:pPr>
        <w:spacing w:after="120" w:line="276"/>
        <w:jc w:val="both"/>
      </w:pPr>
      <w:r>
        <w:rPr>
          <w:rFonts w:ascii="Calibri" w:cs="Calibri" w:eastAsia="Calibri" w:hAnsi="Calibri"/>
          <w:b/>
          <w:bCs/>
          <w:color w:val="1A1A1A"/>
          <w:sz w:val="21"/>
          <w:szCs w:val="21"/>
        </w:rPr>
        <w:t xml:space="preserve">2.3  </w:t>
      </w:r>
      <w:r>
        <w:rPr>
          <w:rFonts w:ascii="Calibri" w:cs="Calibri" w:eastAsia="Calibri" w:hAnsi="Calibri"/>
          <w:b/>
          <w:bCs/>
          <w:color w:val="1A1A1A"/>
          <w:sz w:val="21"/>
          <w:szCs w:val="21"/>
        </w:rPr>
        <w:t xml:space="preserve">Partner Responsibility. </w:t>
      </w:r>
      <w:r>
        <w:rPr>
          <w:rFonts w:ascii="Calibri" w:cs="Calibri" w:eastAsia="Calibri" w:hAnsi="Calibri"/>
          <w:color w:val="1A1A1A"/>
          <w:sz w:val="21"/>
          <w:szCs w:val="21"/>
        </w:rPr>
        <w:t xml:space="preserve">Partner is solely responsible for contacting, qualifying, quoting, scheduling, and servicing each Lead, and for all aspects of the junk-removal services it performs. Provider does not perform junk-removal services and is not a party to any transaction between Partner and a customer.</w:t>
      </w:r>
    </w:p>
    <w:p>
      <w:pPr>
        <w:pStyle w:val="Heading1"/>
        <w:spacing w:after="120" w:before="300"/>
      </w:pPr>
      <w:r>
        <w:rPr>
          <w:rFonts w:ascii="Calibri" w:cs="Calibri" w:eastAsia="Calibri" w:hAnsi="Calibri"/>
          <w:b/>
          <w:bCs/>
          <w:color w:val="1F7A3D"/>
          <w:sz w:val="24"/>
          <w:szCs w:val="24"/>
        </w:rPr>
        <w:t xml:space="preserve">3.  Fees &amp; Payment</w:t>
      </w:r>
    </w:p>
    <w:p>
      <w:pPr>
        <w:spacing w:after="120" w:line="276"/>
        <w:jc w:val="both"/>
      </w:pPr>
      <w:r>
        <w:rPr>
          <w:rFonts w:ascii="Calibri" w:cs="Calibri" w:eastAsia="Calibri" w:hAnsi="Calibri"/>
          <w:b/>
          <w:bCs/>
          <w:color w:val="1A1A1A"/>
          <w:sz w:val="21"/>
          <w:szCs w:val="21"/>
        </w:rPr>
        <w:t xml:space="preserve">3.1  </w:t>
      </w:r>
      <w:r>
        <w:rPr>
          <w:rFonts w:ascii="Calibri" w:cs="Calibri" w:eastAsia="Calibri" w:hAnsi="Calibri"/>
          <w:b/>
          <w:bCs/>
          <w:color w:val="1A1A1A"/>
          <w:sz w:val="21"/>
          <w:szCs w:val="21"/>
        </w:rPr>
        <w:t xml:space="preserve">Lead Fee. </w:t>
      </w:r>
      <w:r>
        <w:rPr>
          <w:rFonts w:ascii="Calibri" w:cs="Calibri" w:eastAsia="Calibri" w:hAnsi="Calibri"/>
          <w:color w:val="1A1A1A"/>
          <w:sz w:val="21"/>
          <w:szCs w:val="21"/>
        </w:rPr>
        <w:t xml:space="preserve">Partner shall pay Provider a fee of </w:t>
      </w:r>
      <w:r>
        <w:rPr>
          <w:rFonts w:ascii="Calibri" w:cs="Calibri" w:eastAsia="Calibri" w:hAnsi="Calibri"/>
          <w:b/>
          <w:bCs/>
          <w:color w:val="1A1A1A"/>
          <w:sz w:val="21"/>
          <w:szCs w:val="21"/>
        </w:rPr>
        <w:t xml:space="preserve">$________</w:t>
      </w:r>
      <w:r>
        <w:rPr>
          <w:rFonts w:ascii="Calibri" w:cs="Calibri" w:eastAsia="Calibri" w:hAnsi="Calibri"/>
          <w:color w:val="1A1A1A"/>
          <w:sz w:val="21"/>
          <w:szCs w:val="21"/>
        </w:rPr>
        <w:t xml:space="preserve"> per Delivered Lead (the “</w:t>
      </w:r>
      <w:r>
        <w:rPr>
          <w:rFonts w:ascii="Calibri" w:cs="Calibri" w:eastAsia="Calibri" w:hAnsi="Calibri"/>
          <w:b/>
          <w:bCs/>
          <w:color w:val="1A1A1A"/>
          <w:sz w:val="21"/>
          <w:szCs w:val="21"/>
        </w:rPr>
        <w:t xml:space="preserve">Lead Fee</w:t>
      </w:r>
      <w:r>
        <w:rPr>
          <w:rFonts w:ascii="Calibri" w:cs="Calibri" w:eastAsia="Calibri" w:hAnsi="Calibri"/>
          <w:color w:val="1A1A1A"/>
          <w:sz w:val="21"/>
          <w:szCs w:val="21"/>
        </w:rPr>
        <w:t xml:space="preserve">”), or such amount as the Parties agree in writing. Lead Fees are exclusive of any applicable taxes.</w:t>
      </w:r>
    </w:p>
    <w:p>
      <w:pPr>
        <w:spacing w:after="120" w:line="276"/>
        <w:jc w:val="both"/>
      </w:pPr>
      <w:r>
        <w:rPr>
          <w:rFonts w:ascii="Calibri" w:cs="Calibri" w:eastAsia="Calibri" w:hAnsi="Calibri"/>
          <w:b/>
          <w:bCs/>
          <w:color w:val="1A1A1A"/>
          <w:sz w:val="21"/>
          <w:szCs w:val="21"/>
        </w:rPr>
        <w:t xml:space="preserve">3.2  </w:t>
      </w:r>
      <w:r>
        <w:rPr>
          <w:rFonts w:ascii="Calibri" w:cs="Calibri" w:eastAsia="Calibri" w:hAnsi="Calibri"/>
          <w:b/>
          <w:bCs/>
          <w:color w:val="1A1A1A"/>
          <w:sz w:val="21"/>
          <w:szCs w:val="21"/>
        </w:rPr>
        <w:t xml:space="preserve">Payment Method. </w:t>
      </w:r>
      <w:r>
        <w:rPr>
          <w:rFonts w:ascii="Calibri" w:cs="Calibri" w:eastAsia="Calibri" w:hAnsi="Calibri"/>
          <w:color w:val="1A1A1A"/>
          <w:sz w:val="21"/>
          <w:szCs w:val="21"/>
        </w:rPr>
        <w:t xml:space="preserve">Partner shall pay by one of the following, at Partner’s election and as accepted by Provider: (a) a prepaid balance funded in advance via Provider’s payment link, from which Lead Fees are drawn as Leads are Delivered; or (b) a valid payment card kept on file and authorized to be charged automatically upon each Delivery. Partner authorizes Provider (and its payment processor, Stripe) to charge the applicable Lead Fee upon Delivery of each Lead.</w:t>
      </w:r>
    </w:p>
    <w:p>
      <w:pPr>
        <w:spacing w:after="120" w:line="276"/>
        <w:jc w:val="both"/>
      </w:pPr>
      <w:r>
        <w:rPr>
          <w:rFonts w:ascii="Calibri" w:cs="Calibri" w:eastAsia="Calibri" w:hAnsi="Calibri"/>
          <w:b/>
          <w:bCs/>
          <w:color w:val="1A1A1A"/>
          <w:sz w:val="21"/>
          <w:szCs w:val="21"/>
        </w:rPr>
        <w:t xml:space="preserve">3.3  </w:t>
      </w:r>
      <w:r>
        <w:rPr>
          <w:rFonts w:ascii="Calibri" w:cs="Calibri" w:eastAsia="Calibri" w:hAnsi="Calibri"/>
          <w:b/>
          <w:bCs/>
          <w:color w:val="1A1A1A"/>
          <w:sz w:val="21"/>
          <w:szCs w:val="21"/>
        </w:rPr>
        <w:t xml:space="preserve">Prepaid Balances. </w:t>
      </w:r>
      <w:r>
        <w:rPr>
          <w:rFonts w:ascii="Calibri" w:cs="Calibri" w:eastAsia="Calibri" w:hAnsi="Calibri"/>
          <w:color w:val="1A1A1A"/>
          <w:sz w:val="21"/>
          <w:szCs w:val="21"/>
        </w:rPr>
        <w:t xml:space="preserve">Prepaid balances are drawn down as Leads are Delivered and are non-refundable except for Lead Credits properly granted under Section 4. Provider may pause delivery if a prepaid balance is exhausted or a card on file is declined.</w:t>
      </w:r>
    </w:p>
    <w:p>
      <w:pPr>
        <w:spacing w:after="120" w:line="276"/>
        <w:jc w:val="both"/>
      </w:pPr>
      <w:r>
        <w:rPr>
          <w:rFonts w:ascii="Calibri" w:cs="Calibri" w:eastAsia="Calibri" w:hAnsi="Calibri"/>
          <w:b/>
          <w:bCs/>
          <w:color w:val="1A1A1A"/>
          <w:sz w:val="21"/>
          <w:szCs w:val="21"/>
        </w:rPr>
        <w:t xml:space="preserve">3.4  </w:t>
      </w:r>
      <w:r>
        <w:rPr>
          <w:rFonts w:ascii="Calibri" w:cs="Calibri" w:eastAsia="Calibri" w:hAnsi="Calibri"/>
          <w:b/>
          <w:bCs/>
          <w:color w:val="1A1A1A"/>
          <w:sz w:val="21"/>
          <w:szCs w:val="21"/>
        </w:rPr>
        <w:t xml:space="preserve">No Contingency. </w:t>
      </w:r>
      <w:r>
        <w:rPr>
          <w:rFonts w:ascii="Calibri" w:cs="Calibri" w:eastAsia="Calibri" w:hAnsi="Calibri"/>
          <w:color w:val="1A1A1A"/>
          <w:sz w:val="21"/>
          <w:szCs w:val="21"/>
        </w:rPr>
        <w:t xml:space="preserve">Lead Fees are earned upon Delivery and are payable regardless of whether Partner contacts the customer, wins the job, or completes any service. Provider is compensated for delivering the opportunity, not for any outcome.</w:t>
      </w:r>
    </w:p>
    <w:p>
      <w:pPr>
        <w:pStyle w:val="Heading1"/>
        <w:spacing w:after="120" w:before="300"/>
      </w:pPr>
      <w:r>
        <w:rPr>
          <w:rFonts w:ascii="Calibri" w:cs="Calibri" w:eastAsia="Calibri" w:hAnsi="Calibri"/>
          <w:b/>
          <w:bCs/>
          <w:color w:val="1F7A3D"/>
          <w:sz w:val="24"/>
          <w:szCs w:val="24"/>
        </w:rPr>
        <w:t xml:space="preserve">4.  Lead Credits</w:t>
      </w:r>
    </w:p>
    <w:p>
      <w:pPr>
        <w:spacing w:after="120" w:line="276"/>
        <w:jc w:val="both"/>
      </w:pPr>
      <w:r>
        <w:rPr>
          <w:rFonts w:ascii="Calibri" w:cs="Calibri" w:eastAsia="Calibri" w:hAnsi="Calibri"/>
          <w:b/>
          <w:bCs/>
          <w:color w:val="1A1A1A"/>
          <w:sz w:val="21"/>
          <w:szCs w:val="21"/>
        </w:rPr>
        <w:t xml:space="preserve">4.1  </w:t>
      </w:r>
      <w:r>
        <w:rPr>
          <w:rFonts w:ascii="Calibri" w:cs="Calibri" w:eastAsia="Calibri" w:hAnsi="Calibri"/>
          <w:b/>
          <w:bCs/>
          <w:color w:val="1A1A1A"/>
          <w:sz w:val="21"/>
          <w:szCs w:val="21"/>
        </w:rPr>
        <w:t xml:space="preserve">Eligible Credits. </w:t>
      </w:r>
      <w:r>
        <w:rPr>
          <w:rFonts w:ascii="Calibri" w:cs="Calibri" w:eastAsia="Calibri" w:hAnsi="Calibri"/>
          <w:color w:val="1A1A1A"/>
          <w:sz w:val="21"/>
          <w:szCs w:val="21"/>
        </w:rPr>
        <w:t xml:space="preserve">Provider will credit Partner the Lead Fee for a Delivered Lead only if, within </w:t>
      </w:r>
      <w:r>
        <w:rPr>
          <w:rFonts w:ascii="Calibri" w:cs="Calibri" w:eastAsia="Calibri" w:hAnsi="Calibri"/>
          <w:b/>
          <w:bCs/>
          <w:color w:val="1A1A1A"/>
          <w:sz w:val="21"/>
          <w:szCs w:val="21"/>
        </w:rPr>
        <w:t xml:space="preserve">seventy-two (72) hours</w:t>
      </w:r>
      <w:r>
        <w:rPr>
          <w:rFonts w:ascii="Calibri" w:cs="Calibri" w:eastAsia="Calibri" w:hAnsi="Calibri"/>
          <w:color w:val="1A1A1A"/>
          <w:sz w:val="21"/>
          <w:szCs w:val="21"/>
        </w:rPr>
        <w:t xml:space="preserve"> of Delivery, Partner notifies Provider and reasonably demonstrates that the Lead was: (a) a duplicate of another Lead Delivered to Partner within the preceding thirty (30) days; (b) supplied with a phone number and email that are both invalid, disconnected, or non-functioning; or (c) materially fabricated (e.g., fake contact information or a fictitious request).</w:t>
      </w:r>
    </w:p>
    <w:p>
      <w:pPr>
        <w:spacing w:after="120" w:line="276"/>
        <w:jc w:val="both"/>
      </w:pPr>
      <w:r>
        <w:rPr>
          <w:rFonts w:ascii="Calibri" w:cs="Calibri" w:eastAsia="Calibri" w:hAnsi="Calibri"/>
          <w:b/>
          <w:bCs/>
          <w:color w:val="1A1A1A"/>
          <w:sz w:val="21"/>
          <w:szCs w:val="21"/>
        </w:rPr>
        <w:t xml:space="preserve">4.2  </w:t>
      </w:r>
      <w:r>
        <w:rPr>
          <w:rFonts w:ascii="Calibri" w:cs="Calibri" w:eastAsia="Calibri" w:hAnsi="Calibri"/>
          <w:b/>
          <w:bCs/>
          <w:color w:val="1A1A1A"/>
          <w:sz w:val="21"/>
          <w:szCs w:val="21"/>
        </w:rPr>
        <w:t xml:space="preserve">Non-Eligible. </w:t>
      </w:r>
      <w:r>
        <w:rPr>
          <w:rFonts w:ascii="Calibri" w:cs="Calibri" w:eastAsia="Calibri" w:hAnsi="Calibri"/>
          <w:color w:val="1A1A1A"/>
          <w:sz w:val="21"/>
          <w:szCs w:val="21"/>
        </w:rPr>
        <w:t xml:space="preserve">For clarity, the following do </w:t>
      </w:r>
      <w:r>
        <w:rPr>
          <w:rFonts w:ascii="Calibri" w:cs="Calibri" w:eastAsia="Calibri" w:hAnsi="Calibri"/>
          <w:b/>
          <w:bCs/>
          <w:color w:val="1A1A1A"/>
          <w:sz w:val="21"/>
          <w:szCs w:val="21"/>
        </w:rPr>
        <w:t xml:space="preserve">not</w:t>
      </w:r>
      <w:r>
        <w:rPr>
          <w:rFonts w:ascii="Calibri" w:cs="Calibri" w:eastAsia="Calibri" w:hAnsi="Calibri"/>
          <w:color w:val="1A1A1A"/>
          <w:sz w:val="21"/>
          <w:szCs w:val="21"/>
        </w:rPr>
        <w:t xml:space="preserve"> qualify for a credit: the customer did not answer or respond; the customer chose another provider; the customer declined Partner’s price or the AI Quote; the customer changed their mind or cancelled; the job was smaller, larger, or different than estimated; or Partner failed to contact the Lead promptly. Variance between the AI Quote and the final job is expected and is never grounds for a credit.</w:t>
      </w:r>
    </w:p>
    <w:p>
      <w:pPr>
        <w:spacing w:after="120" w:line="276"/>
        <w:jc w:val="both"/>
      </w:pPr>
      <w:r>
        <w:rPr>
          <w:rFonts w:ascii="Calibri" w:cs="Calibri" w:eastAsia="Calibri" w:hAnsi="Calibri"/>
          <w:b/>
          <w:bCs/>
          <w:color w:val="1A1A1A"/>
          <w:sz w:val="21"/>
          <w:szCs w:val="21"/>
        </w:rPr>
        <w:t xml:space="preserve">4.3  </w:t>
      </w:r>
      <w:r>
        <w:rPr>
          <w:rFonts w:ascii="Calibri" w:cs="Calibri" w:eastAsia="Calibri" w:hAnsi="Calibri"/>
          <w:b/>
          <w:bCs/>
          <w:color w:val="1A1A1A"/>
          <w:sz w:val="21"/>
          <w:szCs w:val="21"/>
        </w:rPr>
        <w:t xml:space="preserve">Sole Remedy. </w:t>
      </w:r>
      <w:r>
        <w:rPr>
          <w:rFonts w:ascii="Calibri" w:cs="Calibri" w:eastAsia="Calibri" w:hAnsi="Calibri"/>
          <w:color w:val="1A1A1A"/>
          <w:sz w:val="21"/>
          <w:szCs w:val="21"/>
        </w:rPr>
        <w:t xml:space="preserve">Lead Credits are Partner’s sole and exclusive remedy for any issue with a Lead. Credits are applied to Partner’s balance or future Lead Fees and are not redeemable for cash. Provider’s good-faith determination of credit eligibility is final.</w:t>
      </w:r>
    </w:p>
    <w:p>
      <w:pPr>
        <w:pStyle w:val="Heading1"/>
        <w:spacing w:after="120" w:before="300"/>
      </w:pPr>
      <w:r>
        <w:rPr>
          <w:rFonts w:ascii="Calibri" w:cs="Calibri" w:eastAsia="Calibri" w:hAnsi="Calibri"/>
          <w:b/>
          <w:bCs/>
          <w:color w:val="1F7A3D"/>
          <w:sz w:val="24"/>
          <w:szCs w:val="24"/>
        </w:rPr>
        <w:t xml:space="preserve">5.  Non-Circumvention &amp; Data Use</w:t>
      </w:r>
    </w:p>
    <w:p>
      <w:pPr>
        <w:spacing w:after="120" w:line="276"/>
        <w:jc w:val="both"/>
      </w:pPr>
      <w:r>
        <w:rPr>
          <w:rFonts w:ascii="Calibri" w:cs="Calibri" w:eastAsia="Calibri" w:hAnsi="Calibri"/>
          <w:b/>
          <w:bCs/>
          <w:color w:val="1A1A1A"/>
          <w:sz w:val="21"/>
          <w:szCs w:val="21"/>
        </w:rPr>
        <w:t xml:space="preserve">5.1  </w:t>
      </w:r>
      <w:r>
        <w:rPr>
          <w:rFonts w:ascii="Calibri" w:cs="Calibri" w:eastAsia="Calibri" w:hAnsi="Calibri"/>
          <w:b/>
          <w:bCs/>
          <w:color w:val="1A1A1A"/>
          <w:sz w:val="21"/>
          <w:szCs w:val="21"/>
        </w:rPr>
        <w:t xml:space="preserve">Non-Resale. </w:t>
      </w:r>
      <w:r>
        <w:rPr>
          <w:rFonts w:ascii="Calibri" w:cs="Calibri" w:eastAsia="Calibri" w:hAnsi="Calibri"/>
          <w:color w:val="1A1A1A"/>
          <w:sz w:val="21"/>
          <w:szCs w:val="21"/>
        </w:rPr>
        <w:t xml:space="preserve">Leads and all customer information contained in them are provided solely for Partner’s own use in providing junk-removal services to that customer. Partner shall not resell, re-broker, syndicate, trade, or otherwise transfer any Lead or customer information to any third party.</w:t>
      </w:r>
    </w:p>
    <w:p>
      <w:pPr>
        <w:spacing w:after="120" w:line="276"/>
        <w:jc w:val="both"/>
      </w:pPr>
      <w:r>
        <w:rPr>
          <w:rFonts w:ascii="Calibri" w:cs="Calibri" w:eastAsia="Calibri" w:hAnsi="Calibri"/>
          <w:b/>
          <w:bCs/>
          <w:color w:val="1A1A1A"/>
          <w:sz w:val="21"/>
          <w:szCs w:val="21"/>
        </w:rPr>
        <w:t xml:space="preserve">5.2  </w:t>
      </w:r>
      <w:r>
        <w:rPr>
          <w:rFonts w:ascii="Calibri" w:cs="Calibri" w:eastAsia="Calibri" w:hAnsi="Calibri"/>
          <w:b/>
          <w:bCs/>
          <w:color w:val="1A1A1A"/>
          <w:sz w:val="21"/>
          <w:szCs w:val="21"/>
        </w:rPr>
        <w:t xml:space="preserve">Non-Circumvention. </w:t>
      </w:r>
      <w:r>
        <w:rPr>
          <w:rFonts w:ascii="Calibri" w:cs="Calibri" w:eastAsia="Calibri" w:hAnsi="Calibri"/>
          <w:color w:val="1A1A1A"/>
          <w:sz w:val="21"/>
          <w:szCs w:val="21"/>
        </w:rPr>
        <w:t xml:space="preserve">Partner shall not use any Lead to circumvent Provider or avoid Lead Fees, including by routing, referring, or reassigning a Lead to an affiliate, franchisee, or other operator in order to avoid payment. Any such Lead is deemed Delivered to Partner and the Lead Fee is owed.</w:t>
      </w:r>
    </w:p>
    <w:p>
      <w:pPr>
        <w:spacing w:after="120" w:line="276"/>
        <w:jc w:val="both"/>
      </w:pPr>
      <w:r>
        <w:rPr>
          <w:rFonts w:ascii="Calibri" w:cs="Calibri" w:eastAsia="Calibri" w:hAnsi="Calibri"/>
          <w:b/>
          <w:bCs/>
          <w:color w:val="1A1A1A"/>
          <w:sz w:val="21"/>
          <w:szCs w:val="21"/>
        </w:rPr>
        <w:t xml:space="preserve">5.3  </w:t>
      </w:r>
      <w:r>
        <w:rPr>
          <w:rFonts w:ascii="Calibri" w:cs="Calibri" w:eastAsia="Calibri" w:hAnsi="Calibri"/>
          <w:b/>
          <w:bCs/>
          <w:color w:val="1A1A1A"/>
          <w:sz w:val="21"/>
          <w:szCs w:val="21"/>
        </w:rPr>
        <w:t xml:space="preserve">Consumer Data. </w:t>
      </w:r>
      <w:r>
        <w:rPr>
          <w:rFonts w:ascii="Calibri" w:cs="Calibri" w:eastAsia="Calibri" w:hAnsi="Calibri"/>
          <w:color w:val="1A1A1A"/>
          <w:sz w:val="21"/>
          <w:szCs w:val="21"/>
        </w:rPr>
        <w:t xml:space="preserve">Partner shall use customer information only to contact and serve the customer for the requested job, shall keep it confidential, shall comply with all applicable privacy and data-protection laws, and shall delete or stop using it upon the customer’s request.</w:t>
      </w:r>
    </w:p>
    <w:p>
      <w:pPr>
        <w:pStyle w:val="Heading1"/>
        <w:spacing w:after="120" w:before="300"/>
      </w:pPr>
      <w:r>
        <w:rPr>
          <w:rFonts w:ascii="Calibri" w:cs="Calibri" w:eastAsia="Calibri" w:hAnsi="Calibri"/>
          <w:b/>
          <w:bCs/>
          <w:color w:val="1F7A3D"/>
          <w:sz w:val="24"/>
          <w:szCs w:val="24"/>
        </w:rPr>
        <w:t xml:space="preserve">6.  Consumer Contact &amp; Telemarketing Compliance</w:t>
      </w:r>
    </w:p>
    <w:p>
      <w:pPr>
        <w:spacing w:after="120" w:line="276"/>
        <w:jc w:val="both"/>
      </w:pPr>
      <w:r>
        <w:rPr>
          <w:rFonts w:ascii="Calibri" w:cs="Calibri" w:eastAsia="Calibri" w:hAnsi="Calibri"/>
          <w:b/>
          <w:bCs/>
          <w:color w:val="1A1A1A"/>
          <w:sz w:val="21"/>
          <w:szCs w:val="21"/>
        </w:rPr>
        <w:t xml:space="preserve">6.1  </w:t>
      </w:r>
      <w:r>
        <w:rPr>
          <w:rFonts w:ascii="Calibri" w:cs="Calibri" w:eastAsia="Calibri" w:hAnsi="Calibri"/>
          <w:b/>
          <w:bCs/>
          <w:color w:val="1A1A1A"/>
          <w:sz w:val="21"/>
          <w:szCs w:val="21"/>
        </w:rPr>
        <w:t xml:space="preserve">Partner’s Compliance. </w:t>
      </w:r>
      <w:r>
        <w:rPr>
          <w:rFonts w:ascii="Calibri" w:cs="Calibri" w:eastAsia="Calibri" w:hAnsi="Calibri"/>
          <w:color w:val="1A1A1A"/>
          <w:sz w:val="21"/>
          <w:szCs w:val="21"/>
        </w:rPr>
        <w:t xml:space="preserve">Partner is solely responsible for ensuring that its calls, text messages, emails, and other communications to customers comply with all applicable laws, including the Telephone Consumer Protection Act (TCPA), the Telemarketing Sales Rule, CAN-SPAM, and applicable state analogues. Partner shall honor all do-not-call and opt-out requests and shall maintain its own compliance procedures and records.</w:t>
      </w:r>
    </w:p>
    <w:p>
      <w:pPr>
        <w:spacing w:after="120" w:line="276"/>
        <w:jc w:val="both"/>
      </w:pPr>
      <w:r>
        <w:rPr>
          <w:rFonts w:ascii="Calibri" w:cs="Calibri" w:eastAsia="Calibri" w:hAnsi="Calibri"/>
          <w:b/>
          <w:bCs/>
          <w:color w:val="1A1A1A"/>
          <w:sz w:val="21"/>
          <w:szCs w:val="21"/>
        </w:rPr>
        <w:t xml:space="preserve">6.2  </w:t>
      </w:r>
      <w:r>
        <w:rPr>
          <w:rFonts w:ascii="Calibri" w:cs="Calibri" w:eastAsia="Calibri" w:hAnsi="Calibri"/>
          <w:b/>
          <w:bCs/>
          <w:color w:val="1A1A1A"/>
          <w:sz w:val="21"/>
          <w:szCs w:val="21"/>
        </w:rPr>
        <w:t xml:space="preserve">Consent Records. </w:t>
      </w:r>
      <w:r>
        <w:rPr>
          <w:rFonts w:ascii="Calibri" w:cs="Calibri" w:eastAsia="Calibri" w:hAnsi="Calibri"/>
          <w:color w:val="1A1A1A"/>
          <w:sz w:val="21"/>
          <w:szCs w:val="21"/>
        </w:rPr>
        <w:t xml:space="preserve">Provider will collect the customer’s opt-in consent to be contacted and will make available to Partner reasonable records of that consent. Provider makes no representation that such consent satisfies every requirement applicable to Partner’s specific outreach methods (such as autodialed or pre-recorded calls or texts), and Partner is responsible for obtaining any further consent its methods require.</w:t>
      </w:r>
    </w:p>
    <w:p>
      <w:pPr>
        <w:spacing w:after="120" w:line="276"/>
        <w:jc w:val="both"/>
      </w:pPr>
      <w:r>
        <w:rPr>
          <w:rFonts w:ascii="Calibri" w:cs="Calibri" w:eastAsia="Calibri" w:hAnsi="Calibri"/>
          <w:b/>
          <w:bCs/>
          <w:color w:val="1A1A1A"/>
          <w:sz w:val="21"/>
          <w:szCs w:val="21"/>
        </w:rPr>
        <w:t xml:space="preserve">6.3  </w:t>
      </w:r>
      <w:r>
        <w:rPr>
          <w:rFonts w:ascii="Calibri" w:cs="Calibri" w:eastAsia="Calibri" w:hAnsi="Calibri"/>
          <w:b/>
          <w:bCs/>
          <w:color w:val="1A1A1A"/>
          <w:sz w:val="21"/>
          <w:szCs w:val="21"/>
        </w:rPr>
        <w:t xml:space="preserve">Compliance Indemnity. </w:t>
      </w:r>
      <w:r>
        <w:rPr>
          <w:rFonts w:ascii="Calibri" w:cs="Calibri" w:eastAsia="Calibri" w:hAnsi="Calibri"/>
          <w:color w:val="1A1A1A"/>
          <w:sz w:val="21"/>
          <w:szCs w:val="21"/>
        </w:rPr>
        <w:t xml:space="preserve">Partner shall indemnify Provider for any claim arising from Partner’s communications with, or services provided to, any customer, as further set out in Section 9.</w:t>
      </w:r>
    </w:p>
    <w:p>
      <w:pPr>
        <w:pStyle w:val="Heading1"/>
        <w:spacing w:after="120" w:before="300"/>
      </w:pPr>
      <w:r>
        <w:rPr>
          <w:rFonts w:ascii="Calibri" w:cs="Calibri" w:eastAsia="Calibri" w:hAnsi="Calibri"/>
          <w:b/>
          <w:bCs/>
          <w:color w:val="1F7A3D"/>
          <w:sz w:val="24"/>
          <w:szCs w:val="24"/>
        </w:rPr>
        <w:t xml:space="preserve">7.  Disclaimers</w:t>
      </w:r>
    </w:p>
    <w:p>
      <w:pPr>
        <w:spacing w:after="120" w:line="276"/>
        <w:jc w:val="both"/>
      </w:pPr>
      <w:r>
        <w:rPr>
          <w:rFonts w:ascii="Calibri" w:cs="Calibri" w:eastAsia="Calibri" w:hAnsi="Calibri"/>
          <w:b/>
          <w:bCs/>
          <w:color w:val="1A1A1A"/>
          <w:sz w:val="21"/>
          <w:szCs w:val="21"/>
        </w:rPr>
        <w:t xml:space="preserve">7.1  </w:t>
      </w:r>
      <w:r>
        <w:rPr>
          <w:rFonts w:ascii="Calibri" w:cs="Calibri" w:eastAsia="Calibri" w:hAnsi="Calibri"/>
          <w:b/>
          <w:bCs/>
          <w:color w:val="1A1A1A"/>
          <w:sz w:val="21"/>
          <w:szCs w:val="21"/>
        </w:rPr>
        <w:t xml:space="preserve">As-Is. </w:t>
      </w:r>
      <w:r>
        <w:rPr>
          <w:rFonts w:ascii="Calibri" w:cs="Calibri" w:eastAsia="Calibri" w:hAnsi="Calibri"/>
          <w:color w:val="1A1A1A"/>
          <w:sz w:val="21"/>
          <w:szCs w:val="21"/>
        </w:rPr>
        <w:t xml:space="preserve">LEADS AND AI QUOTES ARE PROVIDED “AS IS” AND “AS AVAILABLE.” PROVIDER DISCLAIMS ALL WARRANTIES, EXPRESS OR IMPLIED, INCLUDING MERCHANTABILITY, FITNESS FOR A PARTICULAR PURPOSE, ACCURACY, AND NON-INFRINGEMENT.</w:t>
      </w:r>
    </w:p>
    <w:p>
      <w:pPr>
        <w:spacing w:after="120" w:line="276"/>
        <w:jc w:val="both"/>
      </w:pPr>
      <w:r>
        <w:rPr>
          <w:rFonts w:ascii="Calibri" w:cs="Calibri" w:eastAsia="Calibri" w:hAnsi="Calibri"/>
          <w:b/>
          <w:bCs/>
          <w:color w:val="1A1A1A"/>
          <w:sz w:val="21"/>
          <w:szCs w:val="21"/>
        </w:rPr>
        <w:t xml:space="preserve">7.2  </w:t>
      </w:r>
      <w:r>
        <w:rPr>
          <w:rFonts w:ascii="Calibri" w:cs="Calibri" w:eastAsia="Calibri" w:hAnsi="Calibri"/>
          <w:b/>
          <w:bCs/>
          <w:color w:val="1A1A1A"/>
          <w:sz w:val="21"/>
          <w:szCs w:val="21"/>
        </w:rPr>
        <w:t xml:space="preserve">No Guarantee. </w:t>
      </w:r>
      <w:r>
        <w:rPr>
          <w:rFonts w:ascii="Calibri" w:cs="Calibri" w:eastAsia="Calibri" w:hAnsi="Calibri"/>
          <w:color w:val="1A1A1A"/>
          <w:sz w:val="21"/>
          <w:szCs w:val="21"/>
        </w:rPr>
        <w:t xml:space="preserve">Provider does not warrant that any Lead will result in a sale, that customer information will be accurate or complete, that any customer will respond or transact, or that the AI Quote will match the actual scope or price of any job. The AI Quote is an automated estimate and is not a binding price.</w:t>
      </w:r>
    </w:p>
    <w:p>
      <w:pPr>
        <w:pStyle w:val="Heading1"/>
        <w:spacing w:after="120" w:before="300"/>
      </w:pPr>
      <w:r>
        <w:rPr>
          <w:rFonts w:ascii="Calibri" w:cs="Calibri" w:eastAsia="Calibri" w:hAnsi="Calibri"/>
          <w:b/>
          <w:bCs/>
          <w:color w:val="1F7A3D"/>
          <w:sz w:val="24"/>
          <w:szCs w:val="24"/>
        </w:rPr>
        <w:t xml:space="preserve">8.  Limitation of Liability</w:t>
      </w:r>
    </w:p>
    <w:p>
      <w:pPr>
        <w:spacing w:after="120" w:line="276"/>
        <w:jc w:val="both"/>
      </w:pPr>
      <w:r>
        <w:rPr>
          <w:rFonts w:ascii="Calibri" w:cs="Calibri" w:eastAsia="Calibri" w:hAnsi="Calibri"/>
          <w:b/>
          <w:bCs/>
          <w:color w:val="1A1A1A"/>
          <w:sz w:val="21"/>
          <w:szCs w:val="21"/>
        </w:rPr>
        <w:t xml:space="preserve">8.1  </w:t>
      </w:r>
      <w:r>
        <w:rPr>
          <w:rFonts w:ascii="Calibri" w:cs="Calibri" w:eastAsia="Calibri" w:hAnsi="Calibri"/>
          <w:b/>
          <w:bCs/>
          <w:color w:val="1A1A1A"/>
          <w:sz w:val="21"/>
          <w:szCs w:val="21"/>
        </w:rPr>
        <w:t xml:space="preserve">Cap. </w:t>
      </w:r>
      <w:r>
        <w:rPr>
          <w:rFonts w:ascii="Calibri" w:cs="Calibri" w:eastAsia="Calibri" w:hAnsi="Calibri"/>
          <w:color w:val="1A1A1A"/>
          <w:sz w:val="21"/>
          <w:szCs w:val="21"/>
        </w:rPr>
        <w:t xml:space="preserve">TO THE MAXIMUM EXTENT PERMITTED BY LAW, PROVIDER’S TOTAL AGGREGATE LIABILITY ARISING OUT OF OR RELATING TO THIS AGREEMENT SHALL NOT EXCEED THE TOTAL LEAD FEES PAID BY PARTNER TO PROVIDER IN THE THREE (3) MONTHS PRECEDING THE EVENT GIVING RISE TO THE CLAIM.</w:t>
      </w:r>
    </w:p>
    <w:p>
      <w:pPr>
        <w:spacing w:after="120" w:line="276"/>
        <w:jc w:val="both"/>
      </w:pPr>
      <w:r>
        <w:rPr>
          <w:rFonts w:ascii="Calibri" w:cs="Calibri" w:eastAsia="Calibri" w:hAnsi="Calibri"/>
          <w:b/>
          <w:bCs/>
          <w:color w:val="1A1A1A"/>
          <w:sz w:val="21"/>
          <w:szCs w:val="21"/>
        </w:rPr>
        <w:t xml:space="preserve">8.2  </w:t>
      </w:r>
      <w:r>
        <w:rPr>
          <w:rFonts w:ascii="Calibri" w:cs="Calibri" w:eastAsia="Calibri" w:hAnsi="Calibri"/>
          <w:b/>
          <w:bCs/>
          <w:color w:val="1A1A1A"/>
          <w:sz w:val="21"/>
          <w:szCs w:val="21"/>
        </w:rPr>
        <w:t xml:space="preserve">Exclusion. </w:t>
      </w:r>
      <w:r>
        <w:rPr>
          <w:rFonts w:ascii="Calibri" w:cs="Calibri" w:eastAsia="Calibri" w:hAnsi="Calibri"/>
          <w:color w:val="1A1A1A"/>
          <w:sz w:val="21"/>
          <w:szCs w:val="21"/>
        </w:rPr>
        <w:t xml:space="preserve">IN NO EVENT SHALL PROVIDER BE LIABLE FOR ANY INDIRECT, INCIDENTAL, SPECIAL, CONSEQUENTIAL, OR PUNITIVE DAMAGES, OR FOR LOST PROFITS OR REVENUE, WHETHER IN CONTRACT, TORT, OR OTHERWISE, EVEN IF ADVISED OF THE POSSIBILITY OF SUCH DAMAGES.</w:t>
      </w:r>
    </w:p>
    <w:p>
      <w:pPr>
        <w:pStyle w:val="Heading1"/>
        <w:spacing w:after="120" w:before="300"/>
      </w:pPr>
      <w:r>
        <w:rPr>
          <w:rFonts w:ascii="Calibri" w:cs="Calibri" w:eastAsia="Calibri" w:hAnsi="Calibri"/>
          <w:b/>
          <w:bCs/>
          <w:color w:val="1F7A3D"/>
          <w:sz w:val="24"/>
          <w:szCs w:val="24"/>
        </w:rPr>
        <w:t xml:space="preserve">9.  Indemnification</w:t>
      </w:r>
    </w:p>
    <w:p>
      <w:pPr>
        <w:spacing w:after="120" w:line="276"/>
        <w:jc w:val="both"/>
      </w:pPr>
      <w:r>
        <w:rPr>
          <w:rFonts w:ascii="Calibri" w:cs="Calibri" w:eastAsia="Calibri" w:hAnsi="Calibri"/>
          <w:b/>
          <w:bCs/>
          <w:color w:val="1A1A1A"/>
          <w:sz w:val="21"/>
          <w:szCs w:val="21"/>
        </w:rPr>
        <w:t xml:space="preserve">9.1  </w:t>
      </w:r>
      <w:r>
        <w:rPr>
          <w:rFonts w:ascii="Calibri" w:cs="Calibri" w:eastAsia="Calibri" w:hAnsi="Calibri"/>
          <w:b/>
          <w:bCs/>
          <w:color w:val="1A1A1A"/>
          <w:sz w:val="21"/>
          <w:szCs w:val="21"/>
        </w:rPr>
        <w:t xml:space="preserve">By Partner. </w:t>
      </w:r>
      <w:r>
        <w:rPr>
          <w:rFonts w:ascii="Calibri" w:cs="Calibri" w:eastAsia="Calibri" w:hAnsi="Calibri"/>
          <w:color w:val="1A1A1A"/>
          <w:sz w:val="21"/>
          <w:szCs w:val="21"/>
        </w:rPr>
        <w:t xml:space="preserve">Partner shall defend, indemnify, and hold harmless Provider and its owners, officers, and agents from and against any claim, loss, liability, damage, cost, or expense (including reasonable attorneys’ fees) arising out of or relating to: (a) Partner’s communications with any customer; (b) the junk-removal or other services Partner provides or fails to provide; (c) Partner’s breach of this Agreement; or (d) Partner’s violation of any law, including telemarketing, consumer-protection, and privacy laws.</w:t>
      </w:r>
    </w:p>
    <w:p>
      <w:pPr>
        <w:spacing w:after="120" w:line="276"/>
        <w:jc w:val="both"/>
      </w:pPr>
      <w:r>
        <w:rPr>
          <w:rFonts w:ascii="Calibri" w:cs="Calibri" w:eastAsia="Calibri" w:hAnsi="Calibri"/>
          <w:b/>
          <w:bCs/>
          <w:color w:val="1A1A1A"/>
          <w:sz w:val="21"/>
          <w:szCs w:val="21"/>
        </w:rPr>
        <w:t xml:space="preserve">9.2  </w:t>
      </w:r>
      <w:r>
        <w:rPr>
          <w:rFonts w:ascii="Calibri" w:cs="Calibri" w:eastAsia="Calibri" w:hAnsi="Calibri"/>
          <w:b/>
          <w:bCs/>
          <w:color w:val="1A1A1A"/>
          <w:sz w:val="21"/>
          <w:szCs w:val="21"/>
        </w:rPr>
        <w:t xml:space="preserve">By Provider. </w:t>
      </w:r>
      <w:r>
        <w:rPr>
          <w:rFonts w:ascii="Calibri" w:cs="Calibri" w:eastAsia="Calibri" w:hAnsi="Calibri"/>
          <w:color w:val="1A1A1A"/>
          <w:sz w:val="21"/>
          <w:szCs w:val="21"/>
        </w:rPr>
        <w:t xml:space="preserve">Provider shall defend, indemnify, and hold harmless Partner from any third-party claim that the Tossit platform, as provided by Provider, infringes such third party’s intellectual-property rights, subject to the limitations in Section 8.</w:t>
      </w:r>
    </w:p>
    <w:p>
      <w:pPr>
        <w:pStyle w:val="Heading1"/>
        <w:spacing w:after="120" w:before="300"/>
      </w:pPr>
      <w:r>
        <w:rPr>
          <w:rFonts w:ascii="Calibri" w:cs="Calibri" w:eastAsia="Calibri" w:hAnsi="Calibri"/>
          <w:b/>
          <w:bCs/>
          <w:color w:val="1F7A3D"/>
          <w:sz w:val="24"/>
          <w:szCs w:val="24"/>
        </w:rPr>
        <w:t xml:space="preserve">10.  Term &amp; Termination</w:t>
      </w:r>
    </w:p>
    <w:p>
      <w:pPr>
        <w:spacing w:after="120" w:line="276"/>
        <w:jc w:val="both"/>
      </w:pPr>
      <w:r>
        <w:rPr>
          <w:rFonts w:ascii="Calibri" w:cs="Calibri" w:eastAsia="Calibri" w:hAnsi="Calibri"/>
          <w:b/>
          <w:bCs/>
          <w:color w:val="1A1A1A"/>
          <w:sz w:val="21"/>
          <w:szCs w:val="21"/>
        </w:rPr>
        <w:t xml:space="preserve">10.1  </w:t>
      </w:r>
      <w:r>
        <w:rPr>
          <w:rFonts w:ascii="Calibri" w:cs="Calibri" w:eastAsia="Calibri" w:hAnsi="Calibri"/>
          <w:b/>
          <w:bCs/>
          <w:color w:val="1A1A1A"/>
          <w:sz w:val="21"/>
          <w:szCs w:val="21"/>
        </w:rPr>
        <w:t xml:space="preserve">Term. </w:t>
      </w:r>
      <w:r>
        <w:rPr>
          <w:rFonts w:ascii="Calibri" w:cs="Calibri" w:eastAsia="Calibri" w:hAnsi="Calibri"/>
          <w:color w:val="1A1A1A"/>
          <w:sz w:val="21"/>
          <w:szCs w:val="21"/>
        </w:rPr>
        <w:t xml:space="preserve">This Agreement begins on the Effective Date and continues until terminated. Either Party may terminate for convenience upon fifteen (15) days’ written notice.</w:t>
      </w:r>
    </w:p>
    <w:p>
      <w:pPr>
        <w:spacing w:after="120" w:line="276"/>
        <w:jc w:val="both"/>
      </w:pPr>
      <w:r>
        <w:rPr>
          <w:rFonts w:ascii="Calibri" w:cs="Calibri" w:eastAsia="Calibri" w:hAnsi="Calibri"/>
          <w:b/>
          <w:bCs/>
          <w:color w:val="1A1A1A"/>
          <w:sz w:val="21"/>
          <w:szCs w:val="21"/>
        </w:rPr>
        <w:t xml:space="preserve">10.2  </w:t>
      </w:r>
      <w:r>
        <w:rPr>
          <w:rFonts w:ascii="Calibri" w:cs="Calibri" w:eastAsia="Calibri" w:hAnsi="Calibri"/>
          <w:b/>
          <w:bCs/>
          <w:color w:val="1A1A1A"/>
          <w:sz w:val="21"/>
          <w:szCs w:val="21"/>
        </w:rPr>
        <w:t xml:space="preserve">Termination for Cause. </w:t>
      </w:r>
      <w:r>
        <w:rPr>
          <w:rFonts w:ascii="Calibri" w:cs="Calibri" w:eastAsia="Calibri" w:hAnsi="Calibri"/>
          <w:color w:val="1A1A1A"/>
          <w:sz w:val="21"/>
          <w:szCs w:val="21"/>
        </w:rPr>
        <w:t xml:space="preserve">Either Party may terminate immediately upon written notice if the other Party materially breaches this Agreement and fails to cure within ten (10) days of notice.</w:t>
      </w:r>
    </w:p>
    <w:p>
      <w:pPr>
        <w:spacing w:after="120" w:line="276"/>
        <w:jc w:val="both"/>
      </w:pPr>
      <w:r>
        <w:rPr>
          <w:rFonts w:ascii="Calibri" w:cs="Calibri" w:eastAsia="Calibri" w:hAnsi="Calibri"/>
          <w:b/>
          <w:bCs/>
          <w:color w:val="1A1A1A"/>
          <w:sz w:val="21"/>
          <w:szCs w:val="21"/>
        </w:rPr>
        <w:t xml:space="preserve">10.3  </w:t>
      </w:r>
      <w:r>
        <w:rPr>
          <w:rFonts w:ascii="Calibri" w:cs="Calibri" w:eastAsia="Calibri" w:hAnsi="Calibri"/>
          <w:b/>
          <w:bCs/>
          <w:color w:val="1A1A1A"/>
          <w:sz w:val="21"/>
          <w:szCs w:val="21"/>
        </w:rPr>
        <w:t xml:space="preserve">Effect. </w:t>
      </w:r>
      <w:r>
        <w:rPr>
          <w:rFonts w:ascii="Calibri" w:cs="Calibri" w:eastAsia="Calibri" w:hAnsi="Calibri"/>
          <w:color w:val="1A1A1A"/>
          <w:sz w:val="21"/>
          <w:szCs w:val="21"/>
        </w:rPr>
        <w:t xml:space="preserve">Upon termination, Partner shall pay all Lead Fees for Leads Delivered before the effective date of termination. Any remaining prepaid balance, less amounts owed and non-refundable credits, will be refunded within thirty (30) days. Sections 4–9, 11, and this Section 10.3 survive termination.</w:t>
      </w:r>
    </w:p>
    <w:p>
      <w:pPr>
        <w:pStyle w:val="Heading1"/>
        <w:spacing w:after="120" w:before="300"/>
      </w:pPr>
      <w:r>
        <w:rPr>
          <w:rFonts w:ascii="Calibri" w:cs="Calibri" w:eastAsia="Calibri" w:hAnsi="Calibri"/>
          <w:b/>
          <w:bCs/>
          <w:color w:val="1F7A3D"/>
          <w:sz w:val="24"/>
          <w:szCs w:val="24"/>
        </w:rPr>
        <w:t xml:space="preserve">11.  General</w:t>
      </w:r>
    </w:p>
    <w:p>
      <w:pPr>
        <w:spacing w:after="120" w:line="276"/>
        <w:jc w:val="both"/>
      </w:pPr>
      <w:r>
        <w:rPr>
          <w:rFonts w:ascii="Calibri" w:cs="Calibri" w:eastAsia="Calibri" w:hAnsi="Calibri"/>
          <w:b/>
          <w:bCs/>
          <w:color w:val="1A1A1A"/>
          <w:sz w:val="21"/>
          <w:szCs w:val="21"/>
        </w:rPr>
        <w:t xml:space="preserve">11.1  </w:t>
      </w:r>
      <w:r>
        <w:rPr>
          <w:rFonts w:ascii="Calibri" w:cs="Calibri" w:eastAsia="Calibri" w:hAnsi="Calibri"/>
          <w:b/>
          <w:bCs/>
          <w:color w:val="1A1A1A"/>
          <w:sz w:val="21"/>
          <w:szCs w:val="21"/>
        </w:rPr>
        <w:t xml:space="preserve">Independent Contractors. </w:t>
      </w:r>
      <w:r>
        <w:rPr>
          <w:rFonts w:ascii="Calibri" w:cs="Calibri" w:eastAsia="Calibri" w:hAnsi="Calibri"/>
          <w:color w:val="1A1A1A"/>
          <w:sz w:val="21"/>
          <w:szCs w:val="21"/>
        </w:rPr>
        <w:t xml:space="preserve">The Parties are independent contractors. Nothing in this Agreement creates a partnership, joint venture, agency, franchise, or employment relationship. Neither Party may bind the other.</w:t>
      </w:r>
    </w:p>
    <w:p>
      <w:pPr>
        <w:spacing w:after="120" w:line="276"/>
        <w:jc w:val="both"/>
      </w:pPr>
      <w:r>
        <w:rPr>
          <w:rFonts w:ascii="Calibri" w:cs="Calibri" w:eastAsia="Calibri" w:hAnsi="Calibri"/>
          <w:b/>
          <w:bCs/>
          <w:color w:val="1A1A1A"/>
          <w:sz w:val="21"/>
          <w:szCs w:val="21"/>
        </w:rPr>
        <w:t xml:space="preserve">11.2  </w:t>
      </w:r>
      <w:r>
        <w:rPr>
          <w:rFonts w:ascii="Calibri" w:cs="Calibri" w:eastAsia="Calibri" w:hAnsi="Calibri"/>
          <w:b/>
          <w:bCs/>
          <w:color w:val="1A1A1A"/>
          <w:sz w:val="21"/>
          <w:szCs w:val="21"/>
        </w:rPr>
        <w:t xml:space="preserve">Governing Law. </w:t>
      </w:r>
      <w:r>
        <w:rPr>
          <w:rFonts w:ascii="Calibri" w:cs="Calibri" w:eastAsia="Calibri" w:hAnsi="Calibri"/>
          <w:color w:val="1A1A1A"/>
          <w:sz w:val="21"/>
          <w:szCs w:val="21"/>
        </w:rPr>
        <w:t xml:space="preserve">This Agreement is governed by the laws of the State of </w:t>
      </w:r>
      <w:r>
        <w:rPr>
          <w:rFonts w:ascii="Calibri" w:cs="Calibri" w:eastAsia="Calibri" w:hAnsi="Calibri"/>
          <w:b/>
          <w:bCs/>
          <w:color w:val="1A1A1A"/>
          <w:sz w:val="21"/>
          <w:szCs w:val="21"/>
        </w:rPr>
        <w:t xml:space="preserve">Georgia</w:t>
      </w:r>
      <w:r>
        <w:rPr>
          <w:rFonts w:ascii="Calibri" w:cs="Calibri" w:eastAsia="Calibri" w:hAnsi="Calibri"/>
          <w:color w:val="1A1A1A"/>
          <w:sz w:val="21"/>
          <w:szCs w:val="21"/>
        </w:rPr>
        <w:t xml:space="preserve">, without regard to its conflict-of-laws rules. The Parties consent to the exclusive jurisdiction of the state and federal courts located in Georgia.</w:t>
      </w:r>
    </w:p>
    <w:p>
      <w:pPr>
        <w:spacing w:after="120" w:line="276"/>
        <w:jc w:val="both"/>
      </w:pPr>
      <w:r>
        <w:rPr>
          <w:rFonts w:ascii="Calibri" w:cs="Calibri" w:eastAsia="Calibri" w:hAnsi="Calibri"/>
          <w:b/>
          <w:bCs/>
          <w:color w:val="1A1A1A"/>
          <w:sz w:val="21"/>
          <w:szCs w:val="21"/>
        </w:rPr>
        <w:t xml:space="preserve">11.3  </w:t>
      </w:r>
      <w:r>
        <w:rPr>
          <w:rFonts w:ascii="Calibri" w:cs="Calibri" w:eastAsia="Calibri" w:hAnsi="Calibri"/>
          <w:b/>
          <w:bCs/>
          <w:color w:val="1A1A1A"/>
          <w:sz w:val="21"/>
          <w:szCs w:val="21"/>
        </w:rPr>
        <w:t xml:space="preserve">Entire Agreement. </w:t>
      </w:r>
      <w:r>
        <w:rPr>
          <w:rFonts w:ascii="Calibri" w:cs="Calibri" w:eastAsia="Calibri" w:hAnsi="Calibri"/>
          <w:color w:val="1A1A1A"/>
          <w:sz w:val="21"/>
          <w:szCs w:val="21"/>
        </w:rPr>
        <w:t xml:space="preserve">This Agreement is the entire agreement between the Parties regarding its subject matter and supersedes all prior discussions. It may be amended only in a writing signed by both Parties, except that Provider may update Lead Fees prospectively upon written notice, which Partner accepts by continuing to receive Leads.</w:t>
      </w:r>
    </w:p>
    <w:p>
      <w:pPr>
        <w:spacing w:after="120" w:line="276"/>
        <w:jc w:val="both"/>
      </w:pPr>
      <w:r>
        <w:rPr>
          <w:rFonts w:ascii="Calibri" w:cs="Calibri" w:eastAsia="Calibri" w:hAnsi="Calibri"/>
          <w:b/>
          <w:bCs/>
          <w:color w:val="1A1A1A"/>
          <w:sz w:val="21"/>
          <w:szCs w:val="21"/>
        </w:rPr>
        <w:t xml:space="preserve">11.4  </w:t>
      </w:r>
      <w:r>
        <w:rPr>
          <w:rFonts w:ascii="Calibri" w:cs="Calibri" w:eastAsia="Calibri" w:hAnsi="Calibri"/>
          <w:b/>
          <w:bCs/>
          <w:color w:val="1A1A1A"/>
          <w:sz w:val="21"/>
          <w:szCs w:val="21"/>
        </w:rPr>
        <w:t xml:space="preserve">Assignment. </w:t>
      </w:r>
      <w:r>
        <w:rPr>
          <w:rFonts w:ascii="Calibri" w:cs="Calibri" w:eastAsia="Calibri" w:hAnsi="Calibri"/>
          <w:color w:val="1A1A1A"/>
          <w:sz w:val="21"/>
          <w:szCs w:val="21"/>
        </w:rPr>
        <w:t xml:space="preserve">Partner may not assign this Agreement without Provider’s prior written consent. Provider may assign it to a successor or affiliate.</w:t>
      </w:r>
    </w:p>
    <w:p>
      <w:pPr>
        <w:spacing w:after="120" w:line="276"/>
        <w:jc w:val="both"/>
      </w:pPr>
      <w:r>
        <w:rPr>
          <w:rFonts w:ascii="Calibri" w:cs="Calibri" w:eastAsia="Calibri" w:hAnsi="Calibri"/>
          <w:b/>
          <w:bCs/>
          <w:color w:val="1A1A1A"/>
          <w:sz w:val="21"/>
          <w:szCs w:val="21"/>
        </w:rPr>
        <w:t xml:space="preserve">11.5  </w:t>
      </w:r>
      <w:r>
        <w:rPr>
          <w:rFonts w:ascii="Calibri" w:cs="Calibri" w:eastAsia="Calibri" w:hAnsi="Calibri"/>
          <w:b/>
          <w:bCs/>
          <w:color w:val="1A1A1A"/>
          <w:sz w:val="21"/>
          <w:szCs w:val="21"/>
        </w:rPr>
        <w:t xml:space="preserve">Severability &amp; Waiver. </w:t>
      </w:r>
      <w:r>
        <w:rPr>
          <w:rFonts w:ascii="Calibri" w:cs="Calibri" w:eastAsia="Calibri" w:hAnsi="Calibri"/>
          <w:color w:val="1A1A1A"/>
          <w:sz w:val="21"/>
          <w:szCs w:val="21"/>
        </w:rPr>
        <w:t xml:space="preserve">If any provision is held unenforceable, the remainder stays in effect. A Party’s failure to enforce any provision is not a waiver of it.</w:t>
      </w:r>
    </w:p>
    <w:p>
      <w:pPr>
        <w:spacing w:after="120" w:line="276"/>
        <w:jc w:val="both"/>
      </w:pPr>
      <w:r>
        <w:rPr>
          <w:rFonts w:ascii="Calibri" w:cs="Calibri" w:eastAsia="Calibri" w:hAnsi="Calibri"/>
          <w:b/>
          <w:bCs/>
          <w:color w:val="1A1A1A"/>
          <w:sz w:val="21"/>
          <w:szCs w:val="21"/>
        </w:rPr>
        <w:t xml:space="preserve">11.6  </w:t>
      </w:r>
      <w:r>
        <w:rPr>
          <w:rFonts w:ascii="Calibri" w:cs="Calibri" w:eastAsia="Calibri" w:hAnsi="Calibri"/>
          <w:b/>
          <w:bCs/>
          <w:color w:val="1A1A1A"/>
          <w:sz w:val="21"/>
          <w:szCs w:val="21"/>
        </w:rPr>
        <w:t xml:space="preserve">Notices. </w:t>
      </w:r>
      <w:r>
        <w:rPr>
          <w:rFonts w:ascii="Calibri" w:cs="Calibri" w:eastAsia="Calibri" w:hAnsi="Calibri"/>
          <w:color w:val="1A1A1A"/>
          <w:sz w:val="21"/>
          <w:szCs w:val="21"/>
        </w:rPr>
        <w:t xml:space="preserve">Notices under this Agreement shall be in writing and sent to the email addresses set out below (or as later updated in writing), and are deemed given when sent.</w:t>
      </w:r>
    </w:p>
    <w:p>
      <w:pPr>
        <w:pStyle w:val="Heading1"/>
        <w:spacing w:after="120" w:before="300"/>
      </w:pPr>
      <w:r>
        <w:rPr>
          <w:rFonts w:ascii="Calibri" w:cs="Calibri" w:eastAsia="Calibri" w:hAnsi="Calibri"/>
          <w:b/>
          <w:bCs/>
          <w:color w:val="1F7A3D"/>
          <w:sz w:val="24"/>
          <w:szCs w:val="24"/>
        </w:rPr>
        <w:t xml:space="preserve">12.  Acceptance</w:t>
      </w:r>
    </w:p>
    <w:p>
      <w:pPr>
        <w:spacing w:after="140" w:line="276"/>
        <w:jc w:val="both"/>
      </w:pPr>
      <w:r>
        <w:rPr>
          <w:rFonts w:ascii="Calibri" w:cs="Calibri" w:eastAsia="Calibri" w:hAnsi="Calibri"/>
          <w:i/>
          <w:iCs/>
          <w:color w:val="555555"/>
          <w:sz w:val="21"/>
          <w:szCs w:val="21"/>
        </w:rPr>
        <w:t xml:space="preserve">By signing below, each Party agrees to be bound by this Agreement.</w:t>
      </w:r>
    </w:p>
    <w:p>
      <w:pPr>
        <w:spacing w:after="0" w:before="240"/>
      </w:pPr>
      <w:r>
        <w:rPr>
          <w:rFonts w:ascii="Calibri" w:cs="Calibri" w:eastAsia="Calibri" w:hAnsi="Calibri"/>
          <w:b/>
          <w:bCs/>
          <w:sz w:val="20"/>
          <w:szCs w:val="20"/>
        </w:rPr>
        <w:t xml:space="preserve">SCHAFFER ENERGY CONSULTANTS (d/b/a Tossit)</w:t>
      </w:r>
    </w:p>
    <w:p>
      <w:pPr>
        <w:pBdr>
          <w:top w:val="single" w:color="999999" w:sz="6" w:space="2"/>
        </w:pBdr>
        <w:spacing w:after="20" w:before="260"/>
      </w:pPr>
      <w:r>
        <w:rPr>
          <w:rFonts w:ascii="Calibri" w:cs="Calibri" w:eastAsia="Calibri" w:hAnsi="Calibri"/>
          <w:color w:val="555555"/>
          <w:sz w:val="18"/>
          <w:szCs w:val="18"/>
        </w:rPr>
        <w:t xml:space="preserve">Signature</w:t>
      </w:r>
    </w:p>
    <w:p>
      <w:pPr>
        <w:pBdr>
          <w:top w:val="single" w:color="999999" w:sz="6" w:space="2"/>
        </w:pBdr>
        <w:spacing w:after="20" w:before="260"/>
      </w:pPr>
      <w:r>
        <w:rPr>
          <w:rFonts w:ascii="Calibri" w:cs="Calibri" w:eastAsia="Calibri" w:hAnsi="Calibri"/>
          <w:color w:val="555555"/>
          <w:sz w:val="18"/>
          <w:szCs w:val="18"/>
        </w:rPr>
        <w:t xml:space="preserve">Name / Title</w:t>
      </w:r>
    </w:p>
    <w:p>
      <w:pPr>
        <w:pBdr>
          <w:top w:val="single" w:color="999999" w:sz="6" w:space="2"/>
        </w:pBdr>
        <w:spacing w:after="20" w:before="260"/>
      </w:pPr>
      <w:r>
        <w:rPr>
          <w:rFonts w:ascii="Calibri" w:cs="Calibri" w:eastAsia="Calibri" w:hAnsi="Calibri"/>
          <w:color w:val="555555"/>
          <w:sz w:val="18"/>
          <w:szCs w:val="18"/>
        </w:rPr>
        <w:t xml:space="preserve">Company</w:t>
      </w:r>
    </w:p>
    <w:p>
      <w:pPr>
        <w:pBdr>
          <w:top w:val="single" w:color="999999" w:sz="6" w:space="2"/>
        </w:pBdr>
        <w:spacing w:after="20" w:before="260"/>
      </w:pPr>
      <w:r>
        <w:rPr>
          <w:rFonts w:ascii="Calibri" w:cs="Calibri" w:eastAsia="Calibri" w:hAnsi="Calibri"/>
          <w:color w:val="555555"/>
          <w:sz w:val="18"/>
          <w:szCs w:val="18"/>
        </w:rPr>
        <w:t xml:space="preserve">Email (for notices)</w:t>
      </w:r>
    </w:p>
    <w:p>
      <w:pPr>
        <w:pBdr>
          <w:top w:val="single" w:color="999999" w:sz="6" w:space="2"/>
        </w:pBdr>
        <w:spacing w:after="20" w:before="260"/>
      </w:pPr>
      <w:r>
        <w:rPr>
          <w:rFonts w:ascii="Calibri" w:cs="Calibri" w:eastAsia="Calibri" w:hAnsi="Calibri"/>
          <w:color w:val="555555"/>
          <w:sz w:val="18"/>
          <w:szCs w:val="18"/>
        </w:rPr>
        <w:t xml:space="preserve">Date</w:t>
      </w:r>
    </w:p>
    <w:p>
      <w:pPr>
        <w:spacing w:after="0" w:before="240"/>
      </w:pPr>
      <w:r>
        <w:rPr>
          <w:rFonts w:ascii="Calibri" w:cs="Calibri" w:eastAsia="Calibri" w:hAnsi="Calibri"/>
          <w:b/>
          <w:bCs/>
          <w:sz w:val="20"/>
          <w:szCs w:val="20"/>
        </w:rPr>
        <w:t xml:space="preserve">PARTNER</w:t>
      </w:r>
    </w:p>
    <w:p>
      <w:pPr>
        <w:pBdr>
          <w:top w:val="single" w:color="999999" w:sz="6" w:space="2"/>
        </w:pBdr>
        <w:spacing w:after="20" w:before="260"/>
      </w:pPr>
      <w:r>
        <w:rPr>
          <w:rFonts w:ascii="Calibri" w:cs="Calibri" w:eastAsia="Calibri" w:hAnsi="Calibri"/>
          <w:color w:val="555555"/>
          <w:sz w:val="18"/>
          <w:szCs w:val="18"/>
        </w:rPr>
        <w:t xml:space="preserve">Signature</w:t>
      </w:r>
    </w:p>
    <w:p>
      <w:pPr>
        <w:pBdr>
          <w:top w:val="single" w:color="999999" w:sz="6" w:space="2"/>
        </w:pBdr>
        <w:spacing w:after="20" w:before="260"/>
      </w:pPr>
      <w:r>
        <w:rPr>
          <w:rFonts w:ascii="Calibri" w:cs="Calibri" w:eastAsia="Calibri" w:hAnsi="Calibri"/>
          <w:color w:val="555555"/>
          <w:sz w:val="18"/>
          <w:szCs w:val="18"/>
        </w:rPr>
        <w:t xml:space="preserve">Name / Title</w:t>
      </w:r>
    </w:p>
    <w:p>
      <w:pPr>
        <w:pBdr>
          <w:top w:val="single" w:color="999999" w:sz="6" w:space="2"/>
        </w:pBdr>
        <w:spacing w:after="20" w:before="260"/>
      </w:pPr>
      <w:r>
        <w:rPr>
          <w:rFonts w:ascii="Calibri" w:cs="Calibri" w:eastAsia="Calibri" w:hAnsi="Calibri"/>
          <w:color w:val="555555"/>
          <w:sz w:val="18"/>
          <w:szCs w:val="18"/>
        </w:rPr>
        <w:t xml:space="preserve">Company</w:t>
      </w:r>
    </w:p>
    <w:p>
      <w:pPr>
        <w:pBdr>
          <w:top w:val="single" w:color="999999" w:sz="6" w:space="2"/>
        </w:pBdr>
        <w:spacing w:after="20" w:before="260"/>
      </w:pPr>
      <w:r>
        <w:rPr>
          <w:rFonts w:ascii="Calibri" w:cs="Calibri" w:eastAsia="Calibri" w:hAnsi="Calibri"/>
          <w:color w:val="555555"/>
          <w:sz w:val="18"/>
          <w:szCs w:val="18"/>
        </w:rPr>
        <w:t xml:space="preserve">Email (for notices)</w:t>
      </w:r>
    </w:p>
    <w:p>
      <w:pPr>
        <w:pBdr>
          <w:top w:val="single" w:color="999999" w:sz="6" w:space="2"/>
        </w:pBdr>
        <w:spacing w:after="20" w:before="260"/>
      </w:pPr>
      <w:r>
        <w:rPr>
          <w:rFonts w:ascii="Calibri" w:cs="Calibri" w:eastAsia="Calibri" w:hAnsi="Calibri"/>
          <w:color w:val="555555"/>
          <w:sz w:val="18"/>
          <w:szCs w:val="18"/>
        </w:rPr>
        <w:t xml:space="preserve">Date</w:t>
      </w:r>
    </w:p>
    <w:sectPr>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rPr>
        <w:color w:val="1F7A3D"/>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2026-07-01T21:10:02.670Z</dcterms:created>
  <dcterms:modified xsi:type="dcterms:W3CDTF">2026-07-01T21:10:02.671Z</dcterms:modified>
</cp:coreProperties>
</file>

<file path=docProps/custom.xml><?xml version="1.0" encoding="utf-8"?>
<Properties xmlns="http://schemas.openxmlformats.org/officeDocument/2006/custom-properties" xmlns:vt="http://schemas.openxmlformats.org/officeDocument/2006/docPropsVTypes"/>
</file>